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0441B519" w14:textId="6537381F" w:rsidR="00CA4EA5" w:rsidRDefault="00CA4EA5" w:rsidP="002D4453">
      <w:pPr>
        <w:spacing w:line="288" w:lineRule="auto"/>
        <w:ind w:left="3151"/>
        <w:jc w:val="right"/>
        <w:rPr>
          <w:rFonts w:ascii="Arial" w:hAnsi="Arial" w:cs="Arial"/>
          <w:sz w:val="20"/>
          <w:szCs w:val="20"/>
        </w:rPr>
      </w:pPr>
    </w:p>
    <w:p w14:paraId="3B3AD0D6" w14:textId="47B84BD3" w:rsidR="00EF26B6" w:rsidRPr="00CE700B" w:rsidRDefault="00EF26B6" w:rsidP="002D4453">
      <w:pPr>
        <w:spacing w:line="288" w:lineRule="auto"/>
        <w:ind w:left="3151"/>
        <w:jc w:val="right"/>
        <w:rPr>
          <w:rFonts w:ascii="Arial" w:hAnsi="Arial" w:cs="Arial"/>
          <w:sz w:val="20"/>
          <w:szCs w:val="20"/>
        </w:rPr>
      </w:pPr>
      <w:r w:rsidRPr="00CE700B">
        <w:rPr>
          <w:rFonts w:ascii="Arial" w:hAnsi="Arial" w:cs="Arial"/>
          <w:sz w:val="20"/>
          <w:szCs w:val="20"/>
        </w:rPr>
        <w:t xml:space="preserve">                                                                                              </w:t>
      </w:r>
    </w:p>
    <w:p w14:paraId="5A6A75A9" w14:textId="06705BD3" w:rsidR="00EF26B6" w:rsidRPr="00CE700B" w:rsidRDefault="00EF26B6" w:rsidP="00CA4EA5">
      <w:pPr>
        <w:tabs>
          <w:tab w:val="left" w:pos="7305"/>
        </w:tabs>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r w:rsidR="00CA4EA5">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Federation Internationale des Ingenieurs-Conseils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3D1D956F"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w:t>
      </w:r>
      <w:r w:rsidR="00D94EDC">
        <w:rPr>
          <w:rFonts w:ascii="Arial" w:eastAsia="Times New Roman" w:hAnsi="Arial" w:cs="Arial"/>
          <w:bCs/>
          <w:sz w:val="20"/>
          <w:szCs w:val="20"/>
        </w:rPr>
        <w:t xml:space="preserve"> </w:t>
      </w:r>
      <w:r w:rsidRPr="00CE700B">
        <w:rPr>
          <w:rFonts w:ascii="Arial" w:eastAsia="Times New Roman" w:hAnsi="Arial" w:cs="Arial"/>
          <w:bCs/>
          <w:sz w:val="20"/>
          <w:szCs w:val="20"/>
        </w:rPr>
        <w:t>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1C46A452"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w:t>
      </w:r>
      <w:r w:rsidR="00613C20" w:rsidRPr="00CE700B">
        <w:rPr>
          <w:rFonts w:ascii="Arial" w:eastAsia="Times New Roman" w:hAnsi="Arial" w:cs="Arial"/>
          <w:bCs/>
          <w:sz w:val="20"/>
          <w:szCs w:val="20"/>
        </w:rPr>
        <w:t>, ali</w:t>
      </w:r>
      <w:r w:rsidRPr="00CE700B">
        <w:rPr>
          <w:rFonts w:ascii="Arial" w:eastAsia="Times New Roman" w:hAnsi="Arial" w:cs="Arial"/>
          <w:bCs/>
          <w:sz w:val="20"/>
          <w:szCs w:val="20"/>
        </w:rPr>
        <w:t xml:space="preserve">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D94EDC">
        <w:rPr>
          <w:rFonts w:ascii="Arial" w:eastAsia="Times New Roman" w:hAnsi="Arial" w:cs="Arial"/>
          <w:bCs/>
          <w:sz w:val="20"/>
          <w:szCs w:val="20"/>
        </w:rPr>
        <w:t>1.1.2.11</w:t>
      </w:r>
      <w:r w:rsidRPr="00D94EDC">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sidRPr="00D94EDC">
        <w:rPr>
          <w:rFonts w:ascii="Arial" w:eastAsia="Times New Roman" w:hAnsi="Arial" w:cs="Arial"/>
          <w:bCs/>
          <w:sz w:val="20"/>
          <w:szCs w:val="20"/>
        </w:rPr>
        <w:t>-1</w:t>
      </w:r>
      <w:r w:rsidRPr="00D94EDC">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2C1A6625"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64545371" w:rsidR="00EF26B6" w:rsidRPr="00CE700B" w:rsidRDefault="00EF26B6" w:rsidP="002353C2">
      <w:pPr>
        <w:spacing w:line="288" w:lineRule="auto"/>
        <w:ind w:left="851" w:hanging="993"/>
        <w:rPr>
          <w:rFonts w:ascii="Arial" w:eastAsia="Times New Roman" w:hAnsi="Arial" w:cs="Arial"/>
          <w:bCs/>
          <w:sz w:val="20"/>
          <w:szCs w:val="20"/>
        </w:rPr>
      </w:pPr>
      <w:r w:rsidRPr="002D4453">
        <w:rPr>
          <w:rFonts w:ascii="Arial" w:eastAsia="Times New Roman" w:hAnsi="Arial" w:cs="Arial"/>
          <w:bCs/>
          <w:sz w:val="20"/>
          <w:szCs w:val="20"/>
        </w:rPr>
        <w:t>1.1.5.6     »Odsek« lahko pomeni tudi posamezn</w:t>
      </w:r>
      <w:r w:rsidR="002D4453" w:rsidRPr="002D4453">
        <w:rPr>
          <w:rFonts w:ascii="Arial" w:eastAsia="Times New Roman" w:hAnsi="Arial" w:cs="Arial"/>
          <w:bCs/>
          <w:sz w:val="20"/>
          <w:szCs w:val="20"/>
        </w:rPr>
        <w:t>a</w:t>
      </w:r>
      <w:r w:rsidRPr="002D4453">
        <w:rPr>
          <w:rFonts w:ascii="Arial" w:eastAsia="Times New Roman" w:hAnsi="Arial" w:cs="Arial"/>
          <w:bCs/>
          <w:sz w:val="20"/>
          <w:szCs w:val="20"/>
        </w:rPr>
        <w:t xml:space="preserve"> funkcionalno zaključen</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 xml:space="preserve"> </w:t>
      </w:r>
      <w:r w:rsidRPr="002D4453">
        <w:rPr>
          <w:rFonts w:ascii="Arial" w:eastAsia="Times New Roman" w:hAnsi="Arial" w:cs="Arial"/>
          <w:bCs/>
          <w:sz w:val="20"/>
          <w:szCs w:val="20"/>
        </w:rPr>
        <w:t>celot</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6073C95E"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00613C20"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podčlenom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3333815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 lahko tudi z uporabo tolmača ali prevajalca.</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41FD9EB"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1.5 se </w:t>
      </w:r>
      <w:r w:rsidR="00CA70A9">
        <w:rPr>
          <w:rFonts w:ascii="Arial" w:eastAsia="Times New Roman" w:hAnsi="Arial" w:cs="Arial"/>
          <w:bCs/>
          <w:sz w:val="20"/>
          <w:szCs w:val="20"/>
        </w:rPr>
        <w:t xml:space="preserve">v celoti </w:t>
      </w:r>
      <w:r w:rsidRPr="00CE700B">
        <w:rPr>
          <w:rFonts w:ascii="Arial" w:eastAsia="Times New Roman" w:hAnsi="Arial" w:cs="Arial"/>
          <w:bCs/>
          <w:sz w:val="20"/>
          <w:szCs w:val="20"/>
        </w:rPr>
        <w:t xml:space="preserve">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Na koncu podčlena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določil podaljšanje roka po podčlenu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0236B086"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 xml:space="preserve">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w:t>
      </w:r>
      <w:r w:rsidR="00613C20" w:rsidRPr="00CE700B">
        <w:rPr>
          <w:rFonts w:ascii="Arial" w:eastAsia="Times New Roman" w:hAnsi="Arial" w:cs="Arial"/>
          <w:bCs/>
          <w:sz w:val="20"/>
          <w:szCs w:val="20"/>
        </w:rPr>
        <w:t xml:space="preserve">skladu </w:t>
      </w:r>
      <w:r w:rsidRPr="00CE700B">
        <w:rPr>
          <w:rFonts w:ascii="Arial" w:eastAsia="Times New Roman" w:hAnsi="Arial" w:cs="Arial"/>
          <w:bCs/>
          <w:sz w:val="20"/>
          <w:szCs w:val="20"/>
        </w:rPr>
        <w:t>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Podčlena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5BAA3327" w14:textId="041EA63A" w:rsidR="00D40A62"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w:t>
      </w:r>
      <w:r w:rsidR="00D40A62">
        <w:rPr>
          <w:rFonts w:ascii="Arial" w:eastAsia="Times New Roman" w:hAnsi="Arial" w:cs="Arial"/>
          <w:bCs/>
          <w:sz w:val="20"/>
          <w:szCs w:val="20"/>
        </w:rPr>
        <w:t xml:space="preserve"> obvestil naročnika in inženirja o kakršnikoli napaki, izostanku, pomanjkljivosti ali drugi nepravilnosti v projektu, Načrtih, popisih del in geodetskih podatkih (označitvah relativne višine, kontrolnih točkah za trase cest in za objekte) in drugih informacijah</w:t>
      </w:r>
      <w:r w:rsidR="00613C20">
        <w:rPr>
          <w:rFonts w:ascii="Arial" w:eastAsia="Times New Roman" w:hAnsi="Arial" w:cs="Arial"/>
          <w:bCs/>
          <w:sz w:val="20"/>
          <w:szCs w:val="20"/>
        </w:rPr>
        <w:t>, kar</w:t>
      </w:r>
      <w:r w:rsidR="00D40A62">
        <w:rPr>
          <w:rFonts w:ascii="Arial" w:eastAsia="Times New Roman" w:hAnsi="Arial" w:cs="Arial"/>
          <w:bCs/>
          <w:sz w:val="20"/>
          <w:szCs w:val="20"/>
        </w:rPr>
        <w:t xml:space="preserve"> zadeva dela, ki bi jih izvajalec odkril pred pričetkom izvajanja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24F464CE" w:rsidR="00EF26B6" w:rsidRPr="0064604E" w:rsidRDefault="00EF26B6"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Kot predpogoj za izdajo potrdila o prevzemu mora izvajalec predložiti inženirju</w:t>
      </w:r>
      <w:r w:rsidR="00AB08F7" w:rsidRPr="002353C2">
        <w:rPr>
          <w:rFonts w:ascii="Arial" w:eastAsia="Times New Roman" w:hAnsi="Arial" w:cs="Arial"/>
          <w:bCs/>
          <w:sz w:val="20"/>
          <w:szCs w:val="20"/>
        </w:rPr>
        <w:t>,</w:t>
      </w:r>
      <w:r w:rsidRPr="002353C2">
        <w:rPr>
          <w:rFonts w:ascii="Arial" w:eastAsia="Times New Roman" w:hAnsi="Arial" w:cs="Arial"/>
          <w:bCs/>
          <w:sz w:val="20"/>
          <w:szCs w:val="20"/>
        </w:rPr>
        <w:t xml:space="preserve"> </w:t>
      </w:r>
      <w:r w:rsidR="00AB08F7" w:rsidRPr="002353C2">
        <w:rPr>
          <w:rFonts w:ascii="Arial" w:eastAsia="Times New Roman" w:hAnsi="Arial" w:cs="Arial"/>
          <w:bCs/>
          <w:sz w:val="20"/>
          <w:szCs w:val="20"/>
        </w:rPr>
        <w:t>p</w:t>
      </w:r>
      <w:r w:rsidR="007206E0" w:rsidRPr="002353C2">
        <w:rPr>
          <w:rFonts w:ascii="Arial" w:eastAsia="Times New Roman" w:hAnsi="Arial" w:cs="Arial"/>
          <w:bCs/>
          <w:sz w:val="20"/>
          <w:szCs w:val="20"/>
        </w:rPr>
        <w:t>rojekt</w:t>
      </w:r>
      <w:r w:rsidRPr="002353C2">
        <w:rPr>
          <w:rFonts w:ascii="Arial" w:eastAsia="Times New Roman" w:hAnsi="Arial" w:cs="Arial"/>
          <w:bCs/>
          <w:sz w:val="20"/>
          <w:szCs w:val="20"/>
        </w:rPr>
        <w:t xml:space="preserve"> izvedenih del, </w:t>
      </w:r>
      <w:r w:rsidRPr="00D94EDC">
        <w:rPr>
          <w:rFonts w:ascii="Arial" w:eastAsia="Times New Roman" w:hAnsi="Arial" w:cs="Arial"/>
          <w:bCs/>
          <w:sz w:val="20"/>
          <w:szCs w:val="20"/>
        </w:rPr>
        <w:t>navodila za obratovanje in vzdrževanje za vsa dela v</w:t>
      </w:r>
      <w:r w:rsidRPr="002353C2">
        <w:rPr>
          <w:rFonts w:ascii="Arial" w:eastAsia="Times New Roman" w:hAnsi="Arial" w:cs="Arial"/>
          <w:bCs/>
          <w:sz w:val="20"/>
          <w:szCs w:val="20"/>
        </w:rPr>
        <w:t xml:space="preserve"> tiskani in elektronski obliki</w:t>
      </w:r>
      <w:r w:rsidRPr="00852585">
        <w:rPr>
          <w:rFonts w:ascii="Arial" w:eastAsia="Times New Roman" w:hAnsi="Arial" w:cs="Arial"/>
          <w:bCs/>
          <w:sz w:val="20"/>
          <w:szCs w:val="20"/>
        </w:rPr>
        <w:t xml:space="preserve">, dokazila o </w:t>
      </w:r>
      <w:r w:rsidR="00D94EDC" w:rsidRPr="00852585">
        <w:rPr>
          <w:rFonts w:ascii="Arial" w:eastAsia="Times New Roman" w:hAnsi="Arial" w:cs="Arial"/>
          <w:bCs/>
          <w:sz w:val="20"/>
          <w:szCs w:val="20"/>
        </w:rPr>
        <w:t>kvaliteti vgrajenih materialov</w:t>
      </w:r>
      <w:r w:rsidRPr="00852585">
        <w:rPr>
          <w:rFonts w:ascii="Arial" w:eastAsia="Times New Roman" w:hAnsi="Arial" w:cs="Arial"/>
          <w:bCs/>
          <w:sz w:val="20"/>
          <w:szCs w:val="20"/>
        </w:rPr>
        <w:t>. Navedeno projektno in tehnično dokumentacijo mora predložiti Naročniku</w:t>
      </w:r>
      <w:r w:rsidRPr="002353C2">
        <w:rPr>
          <w:rFonts w:ascii="Arial" w:eastAsia="Times New Roman" w:hAnsi="Arial" w:cs="Arial"/>
          <w:bCs/>
          <w:sz w:val="20"/>
          <w:szCs w:val="20"/>
        </w:rPr>
        <w:t xml:space="preserve"> v 4 (štirih) tiskanih izvodih in </w:t>
      </w:r>
      <w:r w:rsidR="00D94EDC">
        <w:rPr>
          <w:rFonts w:ascii="Arial" w:eastAsia="Times New Roman" w:hAnsi="Arial" w:cs="Arial"/>
          <w:bCs/>
          <w:sz w:val="20"/>
          <w:szCs w:val="20"/>
        </w:rPr>
        <w:t>4</w:t>
      </w:r>
      <w:r w:rsidRPr="002353C2">
        <w:rPr>
          <w:rFonts w:ascii="Arial" w:eastAsia="Times New Roman" w:hAnsi="Arial" w:cs="Arial"/>
          <w:bCs/>
          <w:sz w:val="20"/>
          <w:szCs w:val="20"/>
        </w:rPr>
        <w:t xml:space="preserve"> (</w:t>
      </w:r>
      <w:r w:rsidR="00D94EDC">
        <w:rPr>
          <w:rFonts w:ascii="Arial" w:eastAsia="Times New Roman" w:hAnsi="Arial" w:cs="Arial"/>
          <w:bCs/>
          <w:sz w:val="20"/>
          <w:szCs w:val="20"/>
        </w:rPr>
        <w:t>štirih</w:t>
      </w:r>
      <w:r w:rsidRPr="002353C2">
        <w:rPr>
          <w:rFonts w:ascii="Arial" w:eastAsia="Times New Roman" w:hAnsi="Arial" w:cs="Arial"/>
          <w:bCs/>
          <w:sz w:val="20"/>
          <w:szCs w:val="20"/>
        </w:rPr>
        <w:t xml:space="preserve">) </w:t>
      </w:r>
      <w:r w:rsidR="00D94EDC">
        <w:rPr>
          <w:rFonts w:ascii="Arial" w:eastAsia="Times New Roman" w:hAnsi="Arial" w:cs="Arial"/>
          <w:bCs/>
          <w:sz w:val="20"/>
          <w:szCs w:val="20"/>
        </w:rPr>
        <w:t>digitalnih</w:t>
      </w:r>
      <w:r w:rsidR="00984762">
        <w:rPr>
          <w:rFonts w:ascii="Arial" w:eastAsia="Times New Roman" w:hAnsi="Arial" w:cs="Arial"/>
          <w:bCs/>
          <w:sz w:val="20"/>
          <w:szCs w:val="20"/>
        </w:rPr>
        <w:t xml:space="preserve"> </w:t>
      </w:r>
      <w:r w:rsidRPr="002353C2">
        <w:rPr>
          <w:rFonts w:ascii="Arial" w:eastAsia="Times New Roman" w:hAnsi="Arial" w:cs="Arial"/>
          <w:bCs/>
          <w:sz w:val="20"/>
          <w:szCs w:val="20"/>
        </w:rPr>
        <w:t>izvod</w:t>
      </w:r>
      <w:r w:rsidR="00D94EDC">
        <w:rPr>
          <w:rFonts w:ascii="Arial" w:eastAsia="Times New Roman" w:hAnsi="Arial" w:cs="Arial"/>
          <w:bCs/>
          <w:sz w:val="20"/>
          <w:szCs w:val="20"/>
        </w:rPr>
        <w:t>ih</w:t>
      </w:r>
      <w:r w:rsidR="00984762">
        <w:rPr>
          <w:rFonts w:ascii="Arial" w:eastAsia="Times New Roman" w:hAnsi="Arial" w:cs="Arial"/>
          <w:bCs/>
          <w:sz w:val="20"/>
          <w:szCs w:val="20"/>
        </w:rPr>
        <w:t xml:space="preserve"> (USB ključek)</w:t>
      </w:r>
      <w:r w:rsidRPr="0064604E">
        <w:rPr>
          <w:rFonts w:ascii="Arial" w:eastAsia="Times New Roman" w:hAnsi="Arial" w:cs="Arial"/>
          <w:bCs/>
          <w:sz w:val="20"/>
          <w:szCs w:val="20"/>
        </w:rPr>
        <w:t xml:space="preserve">. </w:t>
      </w:r>
    </w:p>
    <w:p w14:paraId="31F0461A" w14:textId="4BD1A934" w:rsidR="00EF26B6" w:rsidRPr="0064604E" w:rsidRDefault="00EF26B6" w:rsidP="002A0D90">
      <w:pPr>
        <w:spacing w:line="288" w:lineRule="auto"/>
        <w:rPr>
          <w:rFonts w:ascii="Arial" w:eastAsia="Times New Roman" w:hAnsi="Arial" w:cs="Arial"/>
          <w:bCs/>
          <w:sz w:val="20"/>
          <w:szCs w:val="20"/>
        </w:rPr>
      </w:pPr>
    </w:p>
    <w:p w14:paraId="58780007" w14:textId="4554FA5F" w:rsidR="00EF26B6" w:rsidRPr="0064604E" w:rsidRDefault="00290574"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 xml:space="preserve">Navodila za izdelavo in predajo projektne dokumentacije v elektronski obliki so definirana v Splošnih </w:t>
      </w:r>
      <w:r w:rsidR="00E45FD7" w:rsidRPr="0064604E">
        <w:rPr>
          <w:rFonts w:ascii="Arial" w:eastAsia="Times New Roman" w:hAnsi="Arial" w:cs="Arial"/>
          <w:bCs/>
          <w:sz w:val="20"/>
          <w:szCs w:val="20"/>
        </w:rPr>
        <w:t xml:space="preserve">in posebnih </w:t>
      </w:r>
      <w:r w:rsidRPr="0064604E">
        <w:rPr>
          <w:rFonts w:ascii="Arial" w:eastAsia="Times New Roman" w:hAnsi="Arial" w:cs="Arial"/>
          <w:bCs/>
          <w:sz w:val="20"/>
          <w:szCs w:val="20"/>
        </w:rPr>
        <w:t xml:space="preserve">tehničnih pogojih. </w:t>
      </w:r>
      <w:r w:rsidR="00EF26B6" w:rsidRPr="0064604E">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64604E"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64604E">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V celoti se nadomesti prvi in drugi odstavek podčlena, da se glasita:</w:t>
      </w:r>
    </w:p>
    <w:p w14:paraId="47ACE0C8" w14:textId="4B2C3611" w:rsidR="00EF26B6" w:rsidRPr="007C71C5"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bo naročniku izročil finančno zavarovanje za dobro izvedbo pogodbenih obveznost</w:t>
      </w:r>
      <w:r w:rsidR="005D1130">
        <w:rPr>
          <w:rFonts w:ascii="Arial" w:eastAsia="Times New Roman" w:hAnsi="Arial" w:cs="Arial"/>
          <w:bCs/>
          <w:sz w:val="20"/>
          <w:szCs w:val="20"/>
        </w:rPr>
        <w:t xml:space="preserve">i (izpolnitev Pogodbe) v roku </w:t>
      </w:r>
      <w:r w:rsidR="00EF58FD">
        <w:rPr>
          <w:rFonts w:ascii="Arial" w:eastAsia="Times New Roman" w:hAnsi="Arial" w:cs="Arial"/>
          <w:bCs/>
          <w:sz w:val="20"/>
          <w:szCs w:val="20"/>
        </w:rPr>
        <w:t>15</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w:t>
      </w:r>
      <w:r w:rsidRPr="007C71C5">
        <w:rPr>
          <w:rFonts w:ascii="Arial" w:eastAsia="Times New Roman" w:hAnsi="Arial" w:cs="Arial"/>
          <w:bCs/>
          <w:sz w:val="20"/>
          <w:szCs w:val="20"/>
        </w:rPr>
        <w:t xml:space="preserve">celotno vrednost. Zavarovanje mora biti v višini 5% pogodbene vrednosti z DDV </w:t>
      </w:r>
      <w:r w:rsidR="00706F0D" w:rsidRPr="007C71C5">
        <w:rPr>
          <w:rFonts w:ascii="Arial" w:eastAsia="Times New Roman" w:hAnsi="Arial" w:cs="Arial"/>
          <w:bCs/>
          <w:sz w:val="20"/>
          <w:szCs w:val="20"/>
        </w:rPr>
        <w:t>in</w:t>
      </w:r>
      <w:r w:rsidRPr="007C71C5">
        <w:rPr>
          <w:rFonts w:ascii="Arial" w:eastAsia="Times New Roman" w:hAnsi="Arial" w:cs="Arial"/>
          <w:bCs/>
          <w:sz w:val="20"/>
          <w:szCs w:val="20"/>
        </w:rPr>
        <w:t xml:space="preserve"> skladno z vzorcem iz razpisne dokumentacije z veljavnostjo </w:t>
      </w:r>
      <w:r w:rsidR="006674A0" w:rsidRPr="007C71C5">
        <w:rPr>
          <w:rFonts w:ascii="Arial" w:eastAsia="Times New Roman" w:hAnsi="Arial" w:cs="Arial"/>
          <w:bCs/>
          <w:sz w:val="20"/>
          <w:szCs w:val="20"/>
        </w:rPr>
        <w:t>do izdaje potrdila o izvedbi.</w:t>
      </w:r>
      <w:r w:rsidR="007C71C5" w:rsidRPr="007C71C5">
        <w:rPr>
          <w:rFonts w:ascii="Arial" w:eastAsia="Times New Roman" w:hAnsi="Arial" w:cs="Arial"/>
          <w:bCs/>
          <w:sz w:val="20"/>
          <w:szCs w:val="20"/>
        </w:rPr>
        <w:t xml:space="preserve"> </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7C71C5">
        <w:rPr>
          <w:rFonts w:ascii="Arial" w:eastAsia="Times New Roman" w:hAnsi="Arial" w:cs="Arial"/>
          <w:bCs/>
          <w:sz w:val="20"/>
          <w:szCs w:val="20"/>
        </w:rPr>
        <w:t>Garancijo</w:t>
      </w:r>
      <w:r w:rsidR="00EF26B6" w:rsidRPr="007C71C5">
        <w:rPr>
          <w:rFonts w:ascii="Arial" w:eastAsia="Times New Roman" w:hAnsi="Arial" w:cs="Arial"/>
          <w:bCs/>
          <w:sz w:val="20"/>
          <w:szCs w:val="20"/>
        </w:rPr>
        <w:t xml:space="preserve"> za dobro izvedbo naročnik lahko unovči, če izvajalec svojih obveznosti do naročnika ne izpolni </w:t>
      </w:r>
      <w:r w:rsidR="00EF26B6" w:rsidRPr="00CE700B">
        <w:rPr>
          <w:rFonts w:ascii="Arial" w:eastAsia="Times New Roman" w:hAnsi="Arial" w:cs="Arial"/>
          <w:bCs/>
          <w:sz w:val="20"/>
          <w:szCs w:val="20"/>
        </w:rPr>
        <w:t>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0F778BF0" w14:textId="25A90C6A" w:rsidR="00EF26B6"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w:t>
      </w:r>
      <w:r w:rsidR="00706C3E">
        <w:rPr>
          <w:rFonts w:ascii="Arial" w:eastAsia="Times New Roman" w:hAnsi="Arial" w:cs="Arial"/>
          <w:sz w:val="20"/>
          <w:szCs w:val="20"/>
          <w:lang w:eastAsia="sl-SI"/>
        </w:rPr>
        <w:t>varovalnica v državi Naročnika ali</w:t>
      </w:r>
    </w:p>
    <w:p w14:paraId="614DFBB9" w14:textId="214D5500"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62D5BAD2" w14:textId="77777777" w:rsidR="00EF26B6" w:rsidRPr="00CE700B" w:rsidRDefault="00EF26B6" w:rsidP="002A0D90">
      <w:pPr>
        <w:spacing w:line="288" w:lineRule="auto"/>
        <w:rPr>
          <w:rFonts w:ascii="Arial" w:eastAsia="Times New Roman" w:hAnsi="Arial" w:cs="Arial"/>
          <w:b/>
          <w:bCs/>
          <w:sz w:val="20"/>
          <w:szCs w:val="20"/>
        </w:rPr>
      </w:pPr>
    </w:p>
    <w:p w14:paraId="3C6D02ED" w14:textId="31FB678C"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3</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Predstavnik izvajalca</w:t>
      </w:r>
    </w:p>
    <w:p w14:paraId="3D160282" w14:textId="77777777" w:rsidR="00EF26B6" w:rsidRPr="00CE700B" w:rsidRDefault="00EF26B6" w:rsidP="002A0D90">
      <w:pPr>
        <w:spacing w:line="288" w:lineRule="auto"/>
        <w:rPr>
          <w:rFonts w:ascii="Arial" w:eastAsia="Times New Roman" w:hAnsi="Arial" w:cs="Arial"/>
          <w:bCs/>
          <w:sz w:val="20"/>
          <w:szCs w:val="20"/>
        </w:rPr>
      </w:pPr>
    </w:p>
    <w:p w14:paraId="106B08D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Črta se zadnji stavek podčlena in se nadomesti z:</w:t>
      </w:r>
    </w:p>
    <w:p w14:paraId="753F3B94"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1FC99313" w:rsidR="00EF26B6"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4.4 se v celoti črta.</w:t>
      </w:r>
    </w:p>
    <w:p w14:paraId="131C0284" w14:textId="349947CA" w:rsidR="003103FA" w:rsidRDefault="003103FA" w:rsidP="002A0D90">
      <w:pPr>
        <w:spacing w:after="120" w:line="288" w:lineRule="auto"/>
        <w:rPr>
          <w:rFonts w:ascii="Arial" w:eastAsia="Times New Roman" w:hAnsi="Arial" w:cs="Arial"/>
          <w:bCs/>
          <w:sz w:val="20"/>
          <w:szCs w:val="20"/>
        </w:rPr>
      </w:pPr>
    </w:p>
    <w:p w14:paraId="723BB8AB" w14:textId="77777777" w:rsidR="003103FA" w:rsidRPr="003B7AA9" w:rsidRDefault="003103FA" w:rsidP="003103FA">
      <w:pPr>
        <w:spacing w:after="120" w:line="288" w:lineRule="auto"/>
        <w:rPr>
          <w:rFonts w:ascii="Arial" w:eastAsia="Times New Roman" w:hAnsi="Arial" w:cs="Arial"/>
          <w:b/>
          <w:bCs/>
          <w:sz w:val="20"/>
          <w:szCs w:val="20"/>
        </w:rPr>
      </w:pPr>
      <w:r w:rsidRPr="003B7AA9">
        <w:rPr>
          <w:rFonts w:ascii="Arial" w:eastAsia="Times New Roman" w:hAnsi="Arial" w:cs="Arial"/>
          <w:b/>
          <w:bCs/>
          <w:sz w:val="20"/>
          <w:szCs w:val="20"/>
        </w:rPr>
        <w:t>4.6          Sodelovanje</w:t>
      </w:r>
    </w:p>
    <w:p w14:paraId="78286FDA" w14:textId="77777777" w:rsidR="003103FA" w:rsidRPr="003B7AA9" w:rsidRDefault="003103FA" w:rsidP="003103FA">
      <w:pPr>
        <w:spacing w:after="120" w:line="288" w:lineRule="auto"/>
        <w:rPr>
          <w:rFonts w:ascii="Arial" w:eastAsia="Times New Roman" w:hAnsi="Arial" w:cs="Arial"/>
          <w:bCs/>
          <w:sz w:val="20"/>
          <w:szCs w:val="20"/>
        </w:rPr>
      </w:pPr>
      <w:r w:rsidRPr="003B7AA9">
        <w:rPr>
          <w:rFonts w:ascii="Arial" w:eastAsia="Times New Roman" w:hAnsi="Arial" w:cs="Arial"/>
          <w:bCs/>
          <w:sz w:val="20"/>
          <w:szCs w:val="20"/>
        </w:rPr>
        <w:t>Črta se 2. in 3. odst. podčlena 4.6.</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625BDF83"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w:t>
      </w:r>
      <w:r w:rsidR="00CF4F5B">
        <w:rPr>
          <w:rFonts w:ascii="Arial" w:eastAsia="Times New Roman" w:hAnsi="Arial" w:cs="Arial"/>
          <w:bCs/>
          <w:sz w:val="20"/>
          <w:szCs w:val="20"/>
        </w:rPr>
        <w:t>pod</w:t>
      </w:r>
      <w:r w:rsidRPr="002353C2">
        <w:rPr>
          <w:rFonts w:ascii="Arial" w:eastAsia="Times New Roman" w:hAnsi="Arial" w:cs="Arial"/>
          <w:bCs/>
          <w:sz w:val="20"/>
          <w:szCs w:val="20"/>
        </w:rPr>
        <w:t>člena se dodata naslednje besedilo:</w:t>
      </w:r>
    </w:p>
    <w:p w14:paraId="34014FB2" w14:textId="35E7E116" w:rsidR="00044FD6" w:rsidRPr="00D31F3C"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2353C2">
        <w:rPr>
          <w:rFonts w:ascii="Arial" w:eastAsia="Times New Roman" w:hAnsi="Arial" w:cs="Arial"/>
          <w:bCs/>
          <w:sz w:val="20"/>
          <w:szCs w:val="20"/>
        </w:rPr>
        <w:t>20</w:t>
      </w:r>
      <w:r w:rsidRPr="002353C2">
        <w:rPr>
          <w:rFonts w:ascii="Arial" w:eastAsia="Times New Roman" w:hAnsi="Arial" w:cs="Arial"/>
          <w:bCs/>
          <w:sz w:val="20"/>
          <w:szCs w:val="20"/>
        </w:rPr>
        <w:t xml:space="preserve">15, 69/2015) oziroma druga veljavna zakonodaja s tega </w:t>
      </w:r>
      <w:r w:rsidRPr="00D31F3C">
        <w:rPr>
          <w:rFonts w:ascii="Arial" w:eastAsia="Times New Roman" w:hAnsi="Arial" w:cs="Arial"/>
          <w:bCs/>
          <w:sz w:val="20"/>
          <w:szCs w:val="20"/>
        </w:rPr>
        <w:t>področja.</w:t>
      </w:r>
    </w:p>
    <w:p w14:paraId="69AD150B" w14:textId="77777777" w:rsidR="00D31F3C" w:rsidRPr="00D31F3C" w:rsidRDefault="00044FD6" w:rsidP="002A0D90">
      <w:pPr>
        <w:spacing w:after="120" w:line="288" w:lineRule="auto"/>
        <w:rPr>
          <w:rFonts w:ascii="Arial" w:eastAsia="Times New Roman" w:hAnsi="Arial" w:cs="Arial"/>
          <w:bCs/>
          <w:sz w:val="20"/>
          <w:szCs w:val="20"/>
        </w:rPr>
      </w:pPr>
      <w:r w:rsidRPr="00D31F3C">
        <w:rPr>
          <w:rFonts w:ascii="Arial" w:eastAsia="Times New Roman" w:hAnsi="Arial" w:cs="Arial"/>
          <w:bCs/>
          <w:sz w:val="20"/>
          <w:szCs w:val="20"/>
        </w:rPr>
        <w:t>Izvajalec mora upoštevati postopek obdel</w:t>
      </w:r>
      <w:r w:rsidR="006E0CE9" w:rsidRPr="00D31F3C">
        <w:rPr>
          <w:rFonts w:ascii="Arial" w:eastAsia="Times New Roman" w:hAnsi="Arial" w:cs="Arial"/>
          <w:bCs/>
          <w:sz w:val="20"/>
          <w:szCs w:val="20"/>
        </w:rPr>
        <w:t>ave odpadkov R5 – recikliranje/</w:t>
      </w:r>
      <w:r w:rsidRPr="00D31F3C">
        <w:rPr>
          <w:rFonts w:ascii="Arial" w:eastAsia="Times New Roman" w:hAnsi="Arial" w:cs="Arial"/>
          <w:bCs/>
          <w:sz w:val="20"/>
          <w:szCs w:val="20"/>
        </w:rPr>
        <w:t>pridobivanje drugih anorganskih materialov, velja za ves tolčenec izpod železniških tirov in pragov ter celoten železniški spodnji ustroj, ne glede na načrt gospodarjenja z gradbenimi odpadki.</w:t>
      </w:r>
    </w:p>
    <w:p w14:paraId="5741424D" w14:textId="386E06D8" w:rsidR="00EF26B6" w:rsidRPr="00CE700B" w:rsidRDefault="00D31F3C" w:rsidP="002A0D90">
      <w:pPr>
        <w:spacing w:after="120" w:line="288" w:lineRule="auto"/>
        <w:rPr>
          <w:rFonts w:ascii="Arial" w:eastAsia="Times New Roman" w:hAnsi="Arial" w:cs="Arial"/>
          <w:bCs/>
          <w:sz w:val="20"/>
          <w:szCs w:val="20"/>
        </w:rPr>
      </w:pPr>
      <w:r w:rsidRPr="00D31F3C">
        <w:rPr>
          <w:rFonts w:ascii="Arial" w:eastAsia="Times New Roman" w:hAnsi="Arial" w:cs="Arial"/>
          <w:bCs/>
          <w:sz w:val="20"/>
          <w:szCs w:val="20"/>
        </w:rPr>
        <w:t>Izvajalec mora poskrbeti in v svojo ceno vključiti vse stroške deponiranja stavbnega pohištva ter o tem predložiti evidenčne liste.</w:t>
      </w:r>
      <w:r w:rsidR="00044FD6" w:rsidRPr="00D31F3C">
        <w:rPr>
          <w:rFonts w:ascii="Arial" w:eastAsia="Times New Roman" w:hAnsi="Arial" w:cs="Arial"/>
          <w:bCs/>
          <w:sz w:val="20"/>
          <w:szCs w:val="20"/>
        </w:rPr>
        <w:t>«</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Doda se nov podčlen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podčlenih 11.2 (a), (b), (c), ki se niso mogle opaziti, ali za katere se smatra, da niso bile opazne pred iztekom Roka za odpravo pomanjkljivosti in napak (Defect Liability period) po čl. 11.3. </w:t>
      </w:r>
    </w:p>
    <w:p w14:paraId="4ED21297" w14:textId="1BB2DE57" w:rsidR="002A0D90" w:rsidRPr="00CE700B" w:rsidRDefault="00EF26B6" w:rsidP="002A0D90">
      <w:pPr>
        <w:spacing w:after="120" w:line="288" w:lineRule="auto"/>
        <w:rPr>
          <w:rFonts w:ascii="Arial" w:eastAsia="Times New Roman" w:hAnsi="Arial" w:cs="Arial"/>
          <w:bCs/>
          <w:sz w:val="20"/>
          <w:szCs w:val="20"/>
        </w:rPr>
      </w:pPr>
      <w:bookmarkStart w:id="0" w:name="_Hlk105417291"/>
      <w:r w:rsidRPr="00CE700B">
        <w:rPr>
          <w:rFonts w:ascii="Arial" w:eastAsia="Times New Roman" w:hAnsi="Arial" w:cs="Arial"/>
          <w:bCs/>
          <w:sz w:val="20"/>
          <w:szCs w:val="20"/>
        </w:rPr>
        <w:t xml:space="preserve">Izvajalec mora pred prejetjem “Potrdila o izvedbi” predložiti garancijo za odpravo napak v garancijskem roku (Extended Liability) v višini 5 % vrednosti del z DDV. </w:t>
      </w:r>
    </w:p>
    <w:bookmarkEnd w:id="0"/>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1AFBC618"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706C3E">
        <w:rPr>
          <w:rFonts w:ascii="Arial" w:eastAsia="Times New Roman" w:hAnsi="Arial" w:cs="Arial"/>
          <w:sz w:val="20"/>
          <w:szCs w:val="20"/>
          <w:lang w:eastAsia="sl-SI"/>
        </w:rPr>
        <w:t xml:space="preserve"> ali</w:t>
      </w:r>
    </w:p>
    <w:p w14:paraId="47EB485B" w14:textId="56529F8D"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4439603F"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 xml:space="preserve">30 dni </w:t>
      </w:r>
      <w:r w:rsidR="006E0CE9">
        <w:rPr>
          <w:rFonts w:ascii="Arial" w:eastAsia="Times New Roman" w:hAnsi="Arial" w:cs="Arial"/>
          <w:bCs/>
          <w:sz w:val="20"/>
          <w:szCs w:val="20"/>
        </w:rPr>
        <w:t>dlje</w:t>
      </w:r>
      <w:r w:rsidR="003C6E8E" w:rsidRPr="00CE700B">
        <w:rPr>
          <w:rFonts w:ascii="Arial" w:eastAsia="Times New Roman" w:hAnsi="Arial" w:cs="Arial"/>
          <w:bCs/>
          <w:sz w:val="20"/>
          <w:szCs w:val="20"/>
        </w:rPr>
        <w:t xml:space="preserve">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0C8350FF" w14:textId="7354048A" w:rsidR="00EF26B6" w:rsidRDefault="00EF26B6" w:rsidP="002A0D90">
      <w:pPr>
        <w:tabs>
          <w:tab w:val="left" w:pos="567"/>
          <w:tab w:val="left" w:pos="708"/>
        </w:tabs>
        <w:spacing w:line="288" w:lineRule="auto"/>
        <w:rPr>
          <w:rFonts w:ascii="Arial" w:eastAsia="Times New Roman" w:hAnsi="Arial" w:cs="Arial"/>
          <w:sz w:val="20"/>
          <w:szCs w:val="20"/>
          <w:highlight w:val="yellow"/>
        </w:rPr>
      </w:pPr>
    </w:p>
    <w:p w14:paraId="793F21CF" w14:textId="77777777" w:rsidR="007C52E2" w:rsidRPr="00CE700B" w:rsidRDefault="007C52E2"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bCs/>
          <w:sz w:val="20"/>
          <w:szCs w:val="20"/>
        </w:rPr>
        <w:t xml:space="preserve">Podčleni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Podčlenu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 xml:space="preserve">»Kontrolo in prevzem materialov ali opreme bo pri izvajalcu oz. proizvajalcu opravljal </w:t>
      </w:r>
      <w:r w:rsidR="006F2EDE" w:rsidRPr="00B41FEC">
        <w:rPr>
          <w:rFonts w:ascii="Arial" w:eastAsia="Times New Roman" w:hAnsi="Arial" w:cs="Arial"/>
          <w:sz w:val="20"/>
          <w:szCs w:val="20"/>
        </w:rPr>
        <w:t xml:space="preserve">naročnik in/ali </w:t>
      </w:r>
      <w:r w:rsidRPr="00B41FEC">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Zadnji stavek podčlena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Podčlenu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0600EFD3"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w:t>
      </w:r>
      <w:r w:rsidR="00EF26B6" w:rsidRPr="007C52E2">
        <w:rPr>
          <w:rFonts w:ascii="Arial" w:eastAsia="Times New Roman" w:hAnsi="Arial" w:cs="Arial"/>
          <w:bCs/>
          <w:sz w:val="20"/>
          <w:szCs w:val="20"/>
        </w:rPr>
        <w:t>v.</w:t>
      </w:r>
      <w:r w:rsidRPr="007C52E2">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r w:rsidRPr="00B41FEC">
        <w:rPr>
          <w:rFonts w:ascii="Arial" w:hAnsi="Arial" w:cs="Arial"/>
          <w:bCs/>
          <w:sz w:val="20"/>
          <w:szCs w:val="20"/>
        </w:rPr>
        <w:t>Podčlen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06D5FB9D" w14:textId="77777777" w:rsidR="00B83B92" w:rsidRPr="002353C2" w:rsidRDefault="00B83B92" w:rsidP="00B83B92">
      <w:pPr>
        <w:keepNext/>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točke (d) (ii) podčlena se doda:</w:t>
      </w:r>
    </w:p>
    <w:p w14:paraId="5A225A73" w14:textId="6CFD1B3C"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mora v roku 28 dni po prejemu sklenjene pogodbe predati podroben terminski plan iz katerega bo možno razbrati časovno določene posamezne faze del. Istočasno s podrobnim terminskim planom bo izvajalec predal inženirju plan opreme in mehanizacije, gradbenega materiala in delovne sile, ki se nanaša na terminski program. </w:t>
      </w:r>
    </w:p>
    <w:p w14:paraId="72F4D241" w14:textId="77777777" w:rsidR="00B83B92" w:rsidRPr="002353C2" w:rsidRDefault="00B83B92" w:rsidP="00B83B92">
      <w:pPr>
        <w:spacing w:line="288" w:lineRule="auto"/>
        <w:rPr>
          <w:rFonts w:ascii="Arial" w:eastAsia="Times New Roman" w:hAnsi="Arial" w:cs="Arial"/>
          <w:sz w:val="20"/>
          <w:szCs w:val="20"/>
        </w:rPr>
      </w:pPr>
    </w:p>
    <w:p w14:paraId="3532F7B5"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Nadalje mora izvajalec v roku 28 dni po prejemu sklenjene pogodbe, izdelati in naročniku predati v potrditev Tehnološki elaborat izvedbe vseh pogodbenih del.</w:t>
      </w:r>
    </w:p>
    <w:p w14:paraId="7F55AA66"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14770E7B" w14:textId="77777777" w:rsidR="00B83B92" w:rsidRPr="002353C2" w:rsidRDefault="00B83B92" w:rsidP="00B83B92">
      <w:pPr>
        <w:spacing w:after="120" w:line="288" w:lineRule="auto"/>
        <w:ind w:right="62"/>
        <w:rPr>
          <w:rFonts w:ascii="Arial" w:eastAsia="Times New Roman" w:hAnsi="Arial" w:cs="Arial"/>
          <w:bCs/>
          <w:sz w:val="20"/>
          <w:szCs w:val="20"/>
          <w:lang w:eastAsia="sl-SI"/>
        </w:rPr>
      </w:pPr>
      <w:r w:rsidRPr="002353C2">
        <w:rPr>
          <w:rFonts w:ascii="Arial" w:eastAsia="Times New Roman" w:hAnsi="Arial" w:cs="Arial"/>
          <w:bCs/>
          <w:sz w:val="20"/>
          <w:szCs w:val="20"/>
          <w:lang w:eastAsia="sl-SI"/>
        </w:rPr>
        <w:t>Vsebina in način potrjevanja TE sta podana v ostalih poglavjih razpisne dokumentacije.</w:t>
      </w:r>
    </w:p>
    <w:p w14:paraId="36734F3D"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brez potrjenega TE del ne sme pričeti z deli. </w:t>
      </w:r>
    </w:p>
    <w:p w14:paraId="0FE5F138" w14:textId="2DE4D870" w:rsidR="00D82C2F" w:rsidRPr="0021509A" w:rsidRDefault="00D82C2F" w:rsidP="002A0D90">
      <w:pPr>
        <w:spacing w:line="288" w:lineRule="auto"/>
        <w:rPr>
          <w:rFonts w:ascii="Arial" w:eastAsia="Times New Roman" w:hAnsi="Arial" w:cs="Arial"/>
          <w:b/>
          <w:sz w:val="20"/>
          <w:szCs w:val="20"/>
        </w:rPr>
      </w:pPr>
    </w:p>
    <w:p w14:paraId="35941DF8" w14:textId="7777777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Člen 12 – Merjenje in ocena</w:t>
      </w:r>
    </w:p>
    <w:p w14:paraId="0E4E87B1" w14:textId="77777777" w:rsidR="00EF26B6" w:rsidRPr="00CA4EA5" w:rsidRDefault="00EF26B6" w:rsidP="002A0D90">
      <w:pPr>
        <w:spacing w:line="288" w:lineRule="auto"/>
        <w:rPr>
          <w:rFonts w:ascii="Arial" w:eastAsia="Times New Roman" w:hAnsi="Arial" w:cs="Arial"/>
          <w:b/>
          <w:sz w:val="20"/>
          <w:szCs w:val="20"/>
        </w:rPr>
      </w:pPr>
    </w:p>
    <w:p w14:paraId="75B8478C" w14:textId="1E97303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12.1</w:t>
      </w:r>
      <w:r w:rsidRPr="00CA4EA5">
        <w:rPr>
          <w:rFonts w:ascii="Arial" w:eastAsia="Times New Roman" w:hAnsi="Arial" w:cs="Arial"/>
          <w:b/>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r w:rsidRPr="00CE700B">
        <w:rPr>
          <w:rFonts w:ascii="Arial" w:eastAsia="Times New Roman" w:hAnsi="Arial" w:cs="Arial"/>
          <w:sz w:val="20"/>
          <w:szCs w:val="20"/>
        </w:rPr>
        <w:t>Podčlenu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Inženir (nadzornik) skladno s pogodbo preverja izmere količin, vnose podatkov in izračune količin ter potrjuje izmere izvedenih količin vnešene v obračunske liste knjige obračunskih izmer. Če inženir (nadzornik) ugotovi nepravilnosti ali netočnosti, vnešene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r w:rsidRPr="00CE700B">
        <w:rPr>
          <w:rFonts w:ascii="Arial" w:eastAsia="Times New Roman" w:hAnsi="Arial" w:cs="Arial"/>
          <w:sz w:val="20"/>
          <w:szCs w:val="20"/>
        </w:rPr>
        <w:t>Podčlenu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Črta se točka (a) v drugem odstavku podčlena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2D7CD91E" w:rsidR="00F746FA" w:rsidRPr="00B41FEC" w:rsidRDefault="00F746FA" w:rsidP="00B41FEC">
      <w:pPr>
        <w:spacing w:line="288" w:lineRule="auto"/>
        <w:rPr>
          <w:rFonts w:ascii="Arial" w:eastAsia="Times New Roman" w:hAnsi="Arial" w:cs="Arial"/>
          <w:sz w:val="20"/>
          <w:szCs w:val="20"/>
        </w:rPr>
      </w:pPr>
      <w:r w:rsidRPr="002353C2">
        <w:rPr>
          <w:rFonts w:ascii="Arial" w:eastAsia="Times New Roman" w:hAnsi="Arial" w:cs="Arial"/>
          <w:sz w:val="20"/>
          <w:szCs w:val="20"/>
        </w:rPr>
        <w:t>»Vsak nova tarifa ali cena se izračuna na podlagi ustreznih tarif ali cen v pogodbi z ustreznimi prilagoditvami. Izvajalec mora na zahtevo Inženirja predložiti analizo pogodbene cene, na podlagi katere se z ustreznimi prilagoditvami in upoštevanjem pogodbenih kalkulativnih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kalkulativnih elementov morajo biti enake kot tiste</w:t>
      </w:r>
      <w:r w:rsidR="003B7AA9" w:rsidRPr="002353C2">
        <w:rPr>
          <w:rFonts w:ascii="Arial" w:eastAsia="Times New Roman" w:hAnsi="Arial" w:cs="Arial"/>
          <w:sz w:val="20"/>
          <w:szCs w:val="20"/>
        </w:rPr>
        <w:t>, s</w:t>
      </w:r>
      <w:r w:rsidRPr="002353C2">
        <w:rPr>
          <w:rFonts w:ascii="Arial" w:eastAsia="Times New Roman" w:hAnsi="Arial" w:cs="Arial"/>
          <w:sz w:val="20"/>
          <w:szCs w:val="20"/>
        </w:rPr>
        <w:t xml:space="preserve"> katerimi so izračunane pogodbene cene. Če tarif kalkulativnih elementov ni, izvajalec višino le teh dokaže s ceniki ali drugimi dokazljivimi podatki«.</w:t>
      </w:r>
      <w:r w:rsidRPr="00B41FEC">
        <w:rPr>
          <w:rFonts w:ascii="Arial" w:eastAsia="Times New Roman" w:hAnsi="Arial" w:cs="Arial"/>
          <w:sz w:val="20"/>
          <w:szCs w:val="20"/>
        </w:rPr>
        <w:t xml:space="preserve"> </w:t>
      </w:r>
    </w:p>
    <w:p w14:paraId="377AF6D3"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66D49D61" w:rsidR="00252928" w:rsidRPr="00CE700B" w:rsidRDefault="00252928"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7BD13385" w:rsidR="00F746FA" w:rsidRPr="00852585" w:rsidRDefault="00F746FA" w:rsidP="00606D5B">
      <w:pPr>
        <w:pStyle w:val="Odstavekseznama"/>
        <w:keepNext/>
        <w:keepLines/>
        <w:numPr>
          <w:ilvl w:val="0"/>
          <w:numId w:val="16"/>
        </w:numPr>
        <w:spacing w:after="120"/>
        <w:rPr>
          <w:rFonts w:ascii="Arial" w:hAnsi="Arial" w:cs="Arial"/>
          <w:bCs/>
          <w:sz w:val="20"/>
          <w:szCs w:val="20"/>
        </w:rPr>
      </w:pPr>
      <w:r w:rsidRPr="00852585">
        <w:rPr>
          <w:rFonts w:ascii="Arial" w:hAnsi="Arial" w:cs="Arial"/>
          <w:bCs/>
          <w:sz w:val="20"/>
          <w:szCs w:val="20"/>
        </w:rPr>
        <w:t xml:space="preserve">vrednostno oceno spremembe. Vrednostna ocena mora biti izdelana na osnovi analize cene z upoštevanjem kalkulativnih elementov </w:t>
      </w:r>
      <w:r w:rsidR="00711A3D" w:rsidRPr="00852585">
        <w:rPr>
          <w:rFonts w:ascii="Arial" w:hAnsi="Arial" w:cs="Arial"/>
          <w:bCs/>
          <w:sz w:val="20"/>
          <w:szCs w:val="20"/>
        </w:rPr>
        <w:t>oz.</w:t>
      </w:r>
      <w:r w:rsidRPr="00852585">
        <w:rPr>
          <w:rFonts w:ascii="Arial" w:hAnsi="Arial" w:cs="Arial"/>
          <w:bCs/>
          <w:sz w:val="20"/>
          <w:szCs w:val="20"/>
        </w:rPr>
        <w:t xml:space="preserve"> na osnovi dokazljivih cenikov ali drugih dokazljivih podatkov, ki utemeljujejo vrednostno oceno spremembe.</w:t>
      </w:r>
      <w:r w:rsidR="00BB638D" w:rsidRPr="00852585">
        <w:rPr>
          <w:rFonts w:ascii="Arial" w:hAnsi="Arial" w:cs="Arial"/>
          <w:bCs/>
          <w:sz w:val="20"/>
          <w:szCs w:val="20"/>
        </w:rPr>
        <w:t>«</w:t>
      </w:r>
    </w:p>
    <w:p w14:paraId="1DB59F93" w14:textId="77777777" w:rsidR="00F746FA" w:rsidRPr="00706C3E" w:rsidRDefault="00F746FA" w:rsidP="00F746FA">
      <w:pPr>
        <w:keepNext/>
        <w:keepLines/>
        <w:spacing w:after="120"/>
        <w:rPr>
          <w:rFonts w:ascii="Arial" w:hAnsi="Arial" w:cs="Arial"/>
          <w:bCs/>
          <w:sz w:val="20"/>
          <w:szCs w:val="20"/>
          <w:highlight w:val="yellow"/>
        </w:rPr>
      </w:pPr>
    </w:p>
    <w:p w14:paraId="5BB79DA5" w14:textId="77777777" w:rsidR="00F746FA" w:rsidRPr="002353C2" w:rsidRDefault="00F746FA" w:rsidP="00F746FA">
      <w:pPr>
        <w:keepNext/>
        <w:keepLines/>
        <w:spacing w:after="120"/>
        <w:rPr>
          <w:rFonts w:ascii="Arial" w:hAnsi="Arial" w:cs="Arial"/>
          <w:bCs/>
          <w:sz w:val="20"/>
          <w:szCs w:val="20"/>
        </w:rPr>
      </w:pPr>
      <w:r w:rsidRPr="002353C2">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sidRPr="002353C2">
        <w:rPr>
          <w:rFonts w:ascii="Arial" w:hAnsi="Arial" w:cs="Arial"/>
          <w:bCs/>
          <w:sz w:val="20"/>
          <w:szCs w:val="20"/>
        </w:rPr>
        <w:t>»</w:t>
      </w:r>
      <w:r w:rsidR="00F746FA" w:rsidRPr="002353C2">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sidRPr="002353C2">
        <w:rPr>
          <w:rFonts w:ascii="Arial" w:hAnsi="Arial" w:cs="Arial"/>
          <w:bCs/>
          <w:sz w:val="20"/>
          <w:szCs w:val="20"/>
        </w:rPr>
        <w:t>«</w:t>
      </w:r>
      <w:r w:rsidR="00F746FA" w:rsidRPr="00B41FEC">
        <w:rPr>
          <w:rFonts w:ascii="Arial" w:hAnsi="Arial" w:cs="Arial"/>
          <w:bCs/>
          <w:sz w:val="20"/>
          <w:szCs w:val="20"/>
        </w:rPr>
        <w:t xml:space="preserve"> </w:t>
      </w:r>
    </w:p>
    <w:p w14:paraId="59AC9ACE" w14:textId="77777777" w:rsidR="00D40375" w:rsidRPr="007E61C2" w:rsidRDefault="00D40375" w:rsidP="00D40375">
      <w:pPr>
        <w:keepNext/>
        <w:tabs>
          <w:tab w:val="left" w:pos="540"/>
        </w:tabs>
        <w:spacing w:before="120"/>
        <w:outlineLvl w:val="0"/>
        <w:rPr>
          <w:rFonts w:ascii="Arial" w:hAnsi="Arial" w:cs="Arial"/>
        </w:rPr>
      </w:pPr>
    </w:p>
    <w:p w14:paraId="4DBBA9B3" w14:textId="262B5124" w:rsidR="00D40375" w:rsidRPr="007E61C2" w:rsidRDefault="00D40375" w:rsidP="00D40375">
      <w:pPr>
        <w:keepNext/>
        <w:keepLines/>
        <w:spacing w:after="120"/>
        <w:rPr>
          <w:rFonts w:ascii="Arial" w:eastAsia="Times New Roman" w:hAnsi="Arial" w:cs="Arial"/>
          <w:b/>
          <w:sz w:val="20"/>
          <w:szCs w:val="20"/>
        </w:rPr>
      </w:pPr>
      <w:r w:rsidRPr="007E61C2">
        <w:rPr>
          <w:rFonts w:ascii="Arial" w:hAnsi="Arial" w:cs="Arial"/>
          <w:b/>
          <w:sz w:val="20"/>
          <w:szCs w:val="20"/>
        </w:rPr>
        <w:t>13.5 – Začasni zneski</w:t>
      </w:r>
    </w:p>
    <w:p w14:paraId="336A2234" w14:textId="77777777" w:rsidR="00D40375" w:rsidRPr="007E61C2" w:rsidRDefault="00D40375" w:rsidP="00D40375">
      <w:pPr>
        <w:ind w:left="360"/>
        <w:rPr>
          <w:rFonts w:ascii="Arial" w:hAnsi="Arial" w:cs="Arial"/>
          <w:sz w:val="20"/>
          <w:szCs w:val="20"/>
        </w:rPr>
      </w:pPr>
      <w:r w:rsidRPr="007E61C2">
        <w:rPr>
          <w:rFonts w:ascii="Arial" w:hAnsi="Arial" w:cs="Arial"/>
          <w:sz w:val="20"/>
          <w:szCs w:val="20"/>
        </w:rPr>
        <w:t>Za zadnjim odstavkom se doda nov odstavek, ki se glasi:</w:t>
      </w:r>
    </w:p>
    <w:p w14:paraId="09AEE722" w14:textId="77777777" w:rsidR="00D40375" w:rsidRPr="007E61C2" w:rsidRDefault="00D40375" w:rsidP="00D40375">
      <w:pPr>
        <w:ind w:left="360"/>
        <w:rPr>
          <w:rFonts w:ascii="Arial" w:hAnsi="Arial" w:cs="Arial"/>
          <w:sz w:val="20"/>
          <w:szCs w:val="20"/>
        </w:rPr>
      </w:pPr>
    </w:p>
    <w:p w14:paraId="15E5A659" w14:textId="77777777" w:rsidR="00D40375" w:rsidRPr="00FA714E" w:rsidRDefault="00D40375" w:rsidP="00D40375">
      <w:pPr>
        <w:ind w:left="360"/>
        <w:rPr>
          <w:rFonts w:ascii="Arial" w:hAnsi="Arial" w:cs="Arial"/>
          <w:sz w:val="20"/>
          <w:szCs w:val="20"/>
        </w:rPr>
      </w:pPr>
      <w:r w:rsidRPr="007E61C2">
        <w:rPr>
          <w:rFonts w:ascii="Arial" w:hAnsi="Arial" w:cs="Arial"/>
          <w:sz w:val="20"/>
          <w:szCs w:val="20"/>
        </w:rPr>
        <w:t>»Višina manipulativnih stroškov v primeru, da izvajalec izvedbo dodatnih ali nepredvidenih del odda v podizvajanje, lahko znaša največ 5 % od vrednosti podizvajalskih del.«</w:t>
      </w:r>
      <w:r w:rsidRPr="007E61C2">
        <w:rPr>
          <w:rFonts w:ascii="Arial" w:hAnsi="Arial" w:cs="Arial"/>
        </w:rPr>
        <w:t>«</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Podčlen</w:t>
      </w:r>
      <w:r w:rsidR="00EF26B6"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00EF26B6" w:rsidRPr="00CE700B">
        <w:rPr>
          <w:rFonts w:ascii="Arial" w:eastAsia="Times New Roman" w:hAnsi="Arial" w:cs="Arial"/>
          <w:bCs/>
          <w:sz w:val="20"/>
          <w:szCs w:val="20"/>
        </w:rPr>
        <w:t>glasi:</w:t>
      </w:r>
    </w:p>
    <w:p w14:paraId="2C27860D"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 xml:space="preserve">»Naročnik bo izvajalcu priznal valorizacijo cen z upoštevanjem indeksa, izračunanega kot povprečno vrednost indeksa za »inženirske gradnje (št. 50)«, ki ga objavlja gospodarska zbornica Slovenije, zbornica gradbeništva in industrije gradbenega materiala (GZ ZGIGM) ter indeksa cen življenjskih potrebščin, ki ga objavlja statistični urad RS. </w:t>
      </w:r>
    </w:p>
    <w:p w14:paraId="034E6DE7" w14:textId="2755FC88" w:rsidR="00C12356" w:rsidRDefault="00C12356" w:rsidP="00C12356">
      <w:pPr>
        <w:rPr>
          <w:rFonts w:ascii="Arial" w:eastAsia="Times New Roman" w:hAnsi="Arial" w:cs="Arial"/>
          <w:bCs/>
          <w:sz w:val="20"/>
          <w:szCs w:val="20"/>
        </w:rPr>
      </w:pPr>
    </w:p>
    <w:p w14:paraId="28C5C1C7" w14:textId="77777777" w:rsidR="000F3767" w:rsidRPr="00C12356" w:rsidRDefault="000F3767" w:rsidP="00C12356">
      <w:pPr>
        <w:rPr>
          <w:rFonts w:ascii="Arial" w:eastAsia="Times New Roman" w:hAnsi="Arial" w:cs="Arial"/>
          <w:bCs/>
          <w:sz w:val="20"/>
          <w:szCs w:val="20"/>
        </w:rPr>
      </w:pPr>
    </w:p>
    <w:p w14:paraId="72DAEDD6"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 xml:space="preserve">Indeks se izračuna kot verižni indeks po formuli: </w:t>
      </w:r>
    </w:p>
    <w:p w14:paraId="53E3306A"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Kr = 0,5 H50 + 0,5 ICŽP</w:t>
      </w:r>
    </w:p>
    <w:p w14:paraId="4DC54539"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kjer je:</w:t>
      </w:r>
    </w:p>
    <w:p w14:paraId="23FD7912"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Kr – faktor revalorizacije</w:t>
      </w:r>
    </w:p>
    <w:p w14:paraId="4E1A6774"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H50 – povprečni indeks za inženirske gradnje – povzet iz publikacije ZGIGM GZS</w:t>
      </w:r>
    </w:p>
    <w:p w14:paraId="65FFA4A8"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ICŽŠ – indeks cen življenjskih potrebščin</w:t>
      </w:r>
    </w:p>
    <w:p w14:paraId="1B5CA0DE" w14:textId="77777777" w:rsidR="00C12356" w:rsidRPr="00C12356" w:rsidRDefault="00C12356" w:rsidP="00C12356">
      <w:pPr>
        <w:rPr>
          <w:rFonts w:ascii="Arial" w:eastAsia="Times New Roman" w:hAnsi="Arial" w:cs="Arial"/>
          <w:bCs/>
          <w:sz w:val="20"/>
          <w:szCs w:val="20"/>
        </w:rPr>
      </w:pPr>
    </w:p>
    <w:p w14:paraId="4B942456"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Prva valorizacija cen se izvede, ko komulativno povečanje ali zmanjšanje dogovorjenega indeksa cen iz prejšnjega odstavka preseže 2%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oziroma znižanje indeksa, ki je veljalo v obdobju, na katero se situacija nanaša.</w:t>
      </w:r>
    </w:p>
    <w:p w14:paraId="0D42E038" w14:textId="77777777" w:rsidR="00C12356" w:rsidRPr="00C12356" w:rsidRDefault="00C12356" w:rsidP="00C12356">
      <w:pPr>
        <w:rPr>
          <w:rFonts w:ascii="Arial" w:eastAsia="Times New Roman" w:hAnsi="Arial" w:cs="Arial"/>
          <w:bCs/>
          <w:sz w:val="20"/>
          <w:szCs w:val="20"/>
        </w:rPr>
      </w:pPr>
    </w:p>
    <w:p w14:paraId="59A08A2D"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Valorizacija cen znaša 100 % povišanja oziroma znižanja dogovorjenega indeksa.«</w:t>
      </w:r>
    </w:p>
    <w:p w14:paraId="05E45F6E" w14:textId="77777777" w:rsidR="003B7AA9" w:rsidRPr="00CE700B" w:rsidRDefault="003B7AA9"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4B11A5C1"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w:t>
      </w:r>
      <w:r w:rsidR="00FF5C1C">
        <w:rPr>
          <w:rFonts w:ascii="Arial" w:eastAsia="Times New Roman" w:hAnsi="Arial" w:cs="Arial"/>
          <w:bCs/>
          <w:sz w:val="20"/>
          <w:szCs w:val="20"/>
        </w:rPr>
        <w:t>o</w:t>
      </w:r>
      <w:r w:rsidRPr="00CE700B">
        <w:rPr>
          <w:rFonts w:ascii="Arial" w:eastAsia="Times New Roman" w:hAnsi="Arial" w:cs="Arial"/>
          <w:bCs/>
          <w:sz w:val="20"/>
          <w:szCs w:val="20"/>
        </w:rPr>
        <w:t xml:space="preserve"> tega </w:t>
      </w:r>
      <w:r w:rsidR="00FF5C1C">
        <w:rPr>
          <w:rFonts w:ascii="Arial" w:eastAsia="Times New Roman" w:hAnsi="Arial" w:cs="Arial"/>
          <w:bCs/>
          <w:sz w:val="20"/>
          <w:szCs w:val="20"/>
        </w:rPr>
        <w:t>pod</w:t>
      </w:r>
      <w:r w:rsidRPr="00CE700B">
        <w:rPr>
          <w:rFonts w:ascii="Arial" w:eastAsia="Times New Roman" w:hAnsi="Arial" w:cs="Arial"/>
          <w:bCs/>
          <w:sz w:val="20"/>
          <w:szCs w:val="20"/>
        </w:rPr>
        <w:t>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Spremeni se prvi odstavek podčlena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Za tretjem odstavkom podčlena 14.6 se doda:</w:t>
      </w:r>
    </w:p>
    <w:p w14:paraId="4509FDA2" w14:textId="56D1E697" w:rsidR="00BB638D" w:rsidRPr="00454571" w:rsidRDefault="00BB638D" w:rsidP="00BB638D">
      <w:pPr>
        <w:spacing w:after="120" w:line="288" w:lineRule="auto"/>
        <w:rPr>
          <w:rFonts w:ascii="Arial" w:hAnsi="Arial"/>
          <w:sz w:val="20"/>
        </w:rPr>
      </w:pPr>
      <w:r w:rsidRPr="002353C2">
        <w:rPr>
          <w:rFonts w:ascii="Arial" w:hAnsi="Arial"/>
          <w:sz w:val="20"/>
        </w:rPr>
        <w:t>»c. zadržani znesek v skladu s pogodbo.«</w:t>
      </w:r>
    </w:p>
    <w:p w14:paraId="2B5417B4" w14:textId="77777777" w:rsidR="00BB638D" w:rsidRPr="00454571" w:rsidRDefault="00BB638D"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14.8 se črta. </w:t>
      </w:r>
    </w:p>
    <w:p w14:paraId="31BB6318" w14:textId="77777777" w:rsidR="00EF26B6" w:rsidRPr="00CE700B" w:rsidRDefault="00EF26B6"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Podčlen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»Če inženir ne izda potrdila v skladu s podčlenom 14.6 [Izdaja Potrdil o vmesnem plačilu] ali naročnik ne izpolni obveznosti v skladu s podčlenom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14FED520" w14:textId="77777777" w:rsidR="00426F81" w:rsidRPr="00426F81" w:rsidRDefault="00426F81" w:rsidP="00426F81">
      <w:pPr>
        <w:spacing w:line="360" w:lineRule="auto"/>
        <w:outlineLvl w:val="0"/>
        <w:rPr>
          <w:rFonts w:ascii="Arial" w:hAnsi="Arial" w:cs="Arial"/>
          <w:b/>
          <w:sz w:val="20"/>
          <w:szCs w:val="20"/>
        </w:rPr>
      </w:pPr>
    </w:p>
    <w:p w14:paraId="0F42F6BB" w14:textId="77777777" w:rsidR="00426F81" w:rsidRPr="00426F81" w:rsidRDefault="00426F81" w:rsidP="00426F81">
      <w:pPr>
        <w:spacing w:line="360" w:lineRule="auto"/>
        <w:outlineLvl w:val="0"/>
        <w:rPr>
          <w:rFonts w:ascii="Arial" w:hAnsi="Arial" w:cs="Arial"/>
          <w:b/>
          <w:sz w:val="20"/>
          <w:szCs w:val="20"/>
        </w:rPr>
      </w:pPr>
      <w:r w:rsidRPr="00426F81">
        <w:rPr>
          <w:rFonts w:ascii="Arial" w:hAnsi="Arial" w:cs="Arial"/>
          <w:b/>
          <w:sz w:val="20"/>
          <w:szCs w:val="20"/>
        </w:rPr>
        <w:t>Člen 17 – Tveganje in odgovornost</w:t>
      </w:r>
    </w:p>
    <w:p w14:paraId="17003010" w14:textId="77777777" w:rsidR="00426F81" w:rsidRPr="00426F81" w:rsidRDefault="00426F81" w:rsidP="00426F81">
      <w:pPr>
        <w:spacing w:after="120"/>
        <w:rPr>
          <w:rFonts w:ascii="Arial" w:hAnsi="Arial" w:cs="Arial"/>
          <w:bCs/>
          <w:sz w:val="20"/>
          <w:szCs w:val="20"/>
        </w:rPr>
      </w:pPr>
      <w:r w:rsidRPr="00426F81">
        <w:rPr>
          <w:rFonts w:ascii="Arial" w:hAnsi="Arial" w:cs="Arial"/>
          <w:bCs/>
          <w:sz w:val="20"/>
          <w:szCs w:val="20"/>
        </w:rPr>
        <w:t xml:space="preserve">17.6 – Omejitev odgovornosti </w:t>
      </w:r>
    </w:p>
    <w:p w14:paraId="7D409E44" w14:textId="77777777" w:rsidR="00426F81" w:rsidRPr="00426F81" w:rsidRDefault="00426F81" w:rsidP="00426F81">
      <w:pPr>
        <w:rPr>
          <w:rFonts w:ascii="Arial" w:hAnsi="Arial" w:cs="Arial"/>
          <w:bCs/>
          <w:sz w:val="20"/>
          <w:szCs w:val="20"/>
        </w:rPr>
      </w:pPr>
      <w:r w:rsidRPr="00426F81">
        <w:rPr>
          <w:rFonts w:ascii="Arial" w:hAnsi="Arial" w:cs="Arial"/>
          <w:bCs/>
          <w:sz w:val="20"/>
          <w:szCs w:val="20"/>
        </w:rPr>
        <w:t>Podčlen se v celoti črta.</w:t>
      </w:r>
    </w:p>
    <w:p w14:paraId="0AAF1FA1" w14:textId="77777777" w:rsidR="00BB638D" w:rsidRPr="00426F81" w:rsidRDefault="00BB638D" w:rsidP="00454571">
      <w:pPr>
        <w:keepNext/>
        <w:spacing w:line="288" w:lineRule="auto"/>
        <w:jc w:val="left"/>
        <w:outlineLvl w:val="2"/>
        <w:rPr>
          <w:rFonts w:ascii="Arial" w:hAnsi="Arial" w:cs="Arial"/>
          <w:b/>
          <w:sz w:val="20"/>
          <w:szCs w:val="20"/>
        </w:rPr>
      </w:pPr>
    </w:p>
    <w:p w14:paraId="1D6F8535" w14:textId="77777777" w:rsidR="00EF26B6" w:rsidRPr="00426F81" w:rsidRDefault="00EF26B6" w:rsidP="002A0D90">
      <w:pPr>
        <w:keepNext/>
        <w:spacing w:line="288" w:lineRule="auto"/>
        <w:jc w:val="left"/>
        <w:outlineLvl w:val="2"/>
        <w:rPr>
          <w:rFonts w:ascii="Arial" w:eastAsia="Times New Roman" w:hAnsi="Arial" w:cs="Arial"/>
          <w:b/>
          <w:sz w:val="20"/>
          <w:szCs w:val="20"/>
        </w:rPr>
      </w:pPr>
      <w:r w:rsidRPr="00426F81">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r w:rsidRPr="00CE700B">
        <w:rPr>
          <w:rFonts w:ascii="Arial" w:eastAsia="Times New Roman" w:hAnsi="Arial" w:cs="Arial"/>
          <w:sz w:val="20"/>
          <w:szCs w:val="20"/>
        </w:rPr>
        <w:t>Podčlen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tretji odstavek podčlena,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Podčlen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prvi stavek tega podčlena,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»Ni potrebno, da zavarovanje po podčlenu 18.2  pokriva stroške izgube ali rizikov navedenih v podčlenu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Podčlenu se drugi stavek drugega odstavka nadomesti z:</w:t>
      </w:r>
    </w:p>
    <w:p w14:paraId="578600B6" w14:textId="34BBC543" w:rsidR="00EF26B6" w:rsidRPr="00CE700B" w:rsidRDefault="00BB638D"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To zavarovanje je omejeno za posamezni primer na znesek, ki ni manjši od 10</w:t>
      </w:r>
      <w:r w:rsidR="006674A0">
        <w:rPr>
          <w:rFonts w:ascii="Arial" w:eastAsia="Times New Roman" w:hAnsi="Arial" w:cs="Arial"/>
          <w:bCs/>
          <w:sz w:val="20"/>
          <w:szCs w:val="20"/>
        </w:rPr>
        <w:t>0</w:t>
      </w:r>
      <w:r w:rsidR="00EF26B6" w:rsidRPr="002353C2">
        <w:rPr>
          <w:rFonts w:ascii="Arial" w:eastAsia="Times New Roman" w:hAnsi="Arial" w:cs="Arial"/>
          <w:bCs/>
          <w:sz w:val="20"/>
          <w:szCs w:val="20"/>
        </w:rPr>
        <w:t xml:space="preserve">.000,00 EUR, pri čemer maksimalno kritje za vse dogodke skupaj znaša </w:t>
      </w:r>
      <w:r w:rsidR="006674A0">
        <w:rPr>
          <w:rFonts w:ascii="Arial" w:eastAsia="Times New Roman" w:hAnsi="Arial" w:cs="Arial"/>
          <w:bCs/>
          <w:sz w:val="20"/>
          <w:szCs w:val="20"/>
        </w:rPr>
        <w:t>1</w:t>
      </w:r>
      <w:r w:rsidR="00EF26B6" w:rsidRPr="002353C2">
        <w:rPr>
          <w:rFonts w:ascii="Arial" w:eastAsia="Times New Roman" w:hAnsi="Arial" w:cs="Arial"/>
          <w:bCs/>
          <w:sz w:val="20"/>
          <w:szCs w:val="20"/>
        </w:rPr>
        <w:t>.000.000,00 EUR.</w:t>
      </w:r>
      <w:r w:rsidRPr="002353C2">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r w:rsidRPr="00CE700B">
        <w:rPr>
          <w:rFonts w:ascii="Arial" w:eastAsia="Times New Roman" w:hAnsi="Arial" w:cs="Arial"/>
          <w:sz w:val="20"/>
          <w:szCs w:val="20"/>
        </w:rPr>
        <w:t>Podčlen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Prvi odstavek podčlena 20.1 se spremeni tako, da glasi:</w:t>
      </w:r>
    </w:p>
    <w:p w14:paraId="62DA4428" w14:textId="52B754DA" w:rsidR="00EF26B6" w:rsidRPr="002353C2"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r w:rsidRPr="002353C2">
        <w:rPr>
          <w:rFonts w:ascii="Arial" w:eastAsia="Times New Roman" w:hAnsi="Arial" w:cs="Arial"/>
          <w:bCs/>
          <w:sz w:val="20"/>
          <w:szCs w:val="20"/>
        </w:rPr>
        <w:t>«</w:t>
      </w:r>
    </w:p>
    <w:p w14:paraId="6A75ABC3"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šestega odstavka podčlena 20.1 se doda besedilo:</w:t>
      </w:r>
    </w:p>
    <w:p w14:paraId="3F4B53FF" w14:textId="16322AD2" w:rsidR="00EF26B6"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potrdi Inženir.</w:t>
      </w:r>
      <w:r w:rsidRPr="002353C2">
        <w:rPr>
          <w:rFonts w:ascii="Arial" w:eastAsia="Times New Roman" w:hAnsi="Arial" w:cs="Arial"/>
          <w:bCs/>
          <w:sz w:val="20"/>
          <w:szCs w:val="20"/>
        </w:rPr>
        <w:t>«</w:t>
      </w:r>
    </w:p>
    <w:p w14:paraId="1DA17110" w14:textId="557B442F" w:rsidR="006E0CE9" w:rsidRDefault="006E0CE9" w:rsidP="002A0D90">
      <w:pPr>
        <w:spacing w:after="120" w:line="288" w:lineRule="auto"/>
        <w:rPr>
          <w:rFonts w:ascii="Arial" w:eastAsia="Times New Roman" w:hAnsi="Arial" w:cs="Arial"/>
          <w:bCs/>
          <w:sz w:val="20"/>
          <w:szCs w:val="20"/>
        </w:rPr>
      </w:pPr>
      <w:bookmarkStart w:id="1" w:name="_GoBack"/>
      <w:bookmarkEnd w:id="1"/>
    </w:p>
    <w:p w14:paraId="2CE9558D" w14:textId="77777777" w:rsidR="006E0CE9" w:rsidRP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Črtajo se podčleni 20.2, 20.3, 20.4, 20.5, 20.6, 20.7 in 20.8 ter se nadomestijo s sledečim odstavkom:</w:t>
      </w:r>
    </w:p>
    <w:p w14:paraId="74F3A2F3" w14:textId="71877B89" w:rsid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»Brez kršitev vseh drugih določil podčlenov, ki se sklicujejo na podčlene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p>
    <w:p w14:paraId="759B35C5" w14:textId="5E6AC246" w:rsidR="006E0CE9" w:rsidRDefault="006E0CE9" w:rsidP="006E0CE9">
      <w:pPr>
        <w:spacing w:after="120" w:line="288" w:lineRule="auto"/>
        <w:rPr>
          <w:rFonts w:ascii="Arial" w:eastAsia="Times New Roman" w:hAnsi="Arial" w:cs="Arial"/>
          <w:bCs/>
          <w:sz w:val="20"/>
          <w:szCs w:val="20"/>
        </w:rPr>
      </w:pPr>
    </w:p>
    <w:p w14:paraId="40ABCD13" w14:textId="77777777" w:rsidR="006E0CE9" w:rsidRPr="002353C2" w:rsidRDefault="006E0CE9" w:rsidP="006E0CE9">
      <w:pPr>
        <w:spacing w:after="120" w:line="288" w:lineRule="auto"/>
        <w:rPr>
          <w:rFonts w:ascii="Arial" w:eastAsia="Times New Roman" w:hAnsi="Arial" w:cs="Arial"/>
          <w:bCs/>
          <w:sz w:val="20"/>
          <w:szCs w:val="20"/>
        </w:rPr>
      </w:pP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19E71CFC" w:rsidR="00AE4F6C" w:rsidRDefault="00AE4F6C" w:rsidP="00AE4F6C">
      <w:pPr>
        <w:spacing w:line="288" w:lineRule="auto"/>
        <w:jc w:val="right"/>
        <w:rPr>
          <w:rFonts w:ascii="Arial" w:eastAsia="Times New Roman" w:hAnsi="Arial" w:cs="Arial"/>
          <w:bCs/>
          <w:sz w:val="20"/>
          <w:szCs w:val="20"/>
        </w:rPr>
      </w:pPr>
    </w:p>
    <w:p w14:paraId="524FA32C" w14:textId="5433AE98" w:rsidR="006E0CE9" w:rsidRDefault="006E0CE9" w:rsidP="00AE4F6C">
      <w:pPr>
        <w:spacing w:line="288" w:lineRule="auto"/>
        <w:jc w:val="right"/>
        <w:rPr>
          <w:rFonts w:ascii="Arial" w:eastAsia="Times New Roman" w:hAnsi="Arial" w:cs="Arial"/>
          <w:bCs/>
          <w:sz w:val="20"/>
          <w:szCs w:val="20"/>
        </w:rPr>
      </w:pPr>
    </w:p>
    <w:p w14:paraId="5DBDCE5D" w14:textId="55A2BB1F" w:rsidR="006E0CE9" w:rsidRDefault="006E0CE9" w:rsidP="00AE4F6C">
      <w:pPr>
        <w:spacing w:line="288" w:lineRule="auto"/>
        <w:jc w:val="right"/>
        <w:rPr>
          <w:rFonts w:ascii="Arial" w:eastAsia="Times New Roman" w:hAnsi="Arial" w:cs="Arial"/>
          <w:bCs/>
          <w:sz w:val="20"/>
          <w:szCs w:val="20"/>
        </w:rPr>
      </w:pPr>
    </w:p>
    <w:p w14:paraId="5EF17F55" w14:textId="71AECF5F" w:rsidR="006E0CE9" w:rsidRDefault="006E0CE9" w:rsidP="00AE4F6C">
      <w:pPr>
        <w:spacing w:line="288" w:lineRule="auto"/>
        <w:jc w:val="right"/>
        <w:rPr>
          <w:rFonts w:ascii="Arial" w:eastAsia="Times New Roman" w:hAnsi="Arial" w:cs="Arial"/>
          <w:bCs/>
          <w:sz w:val="20"/>
          <w:szCs w:val="20"/>
        </w:rPr>
      </w:pPr>
    </w:p>
    <w:p w14:paraId="5A565424" w14:textId="3CE6C0D2" w:rsidR="006E0CE9" w:rsidRDefault="006E0CE9" w:rsidP="00AE4F6C">
      <w:pPr>
        <w:spacing w:line="288" w:lineRule="auto"/>
        <w:jc w:val="right"/>
        <w:rPr>
          <w:rFonts w:ascii="Arial" w:eastAsia="Times New Roman" w:hAnsi="Arial" w:cs="Arial"/>
          <w:bCs/>
          <w:sz w:val="20"/>
          <w:szCs w:val="20"/>
        </w:rPr>
      </w:pPr>
    </w:p>
    <w:p w14:paraId="7B8006A9" w14:textId="77777777" w:rsidR="006E0CE9" w:rsidRPr="00CE700B" w:rsidRDefault="006E0CE9" w:rsidP="00AE4F6C">
      <w:pPr>
        <w:spacing w:line="288" w:lineRule="auto"/>
        <w:jc w:val="right"/>
        <w:rPr>
          <w:rFonts w:ascii="Arial" w:eastAsia="Times New Roman" w:hAnsi="Arial" w:cs="Arial"/>
          <w:bCs/>
          <w:sz w:val="20"/>
          <w:szCs w:val="20"/>
        </w:rPr>
      </w:pPr>
    </w:p>
    <w:sectPr w:rsidR="006E0CE9"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750A9" w16cid:durableId="26488A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ED3C3" w14:textId="77777777" w:rsidR="000472AE" w:rsidRDefault="000472AE">
      <w:r>
        <w:separator/>
      </w:r>
    </w:p>
  </w:endnote>
  <w:endnote w:type="continuationSeparator" w:id="0">
    <w:p w14:paraId="54737613" w14:textId="77777777" w:rsidR="000472AE" w:rsidRDefault="000472AE">
      <w:r>
        <w:continuationSeparator/>
      </w:r>
    </w:p>
  </w:endnote>
  <w:endnote w:type="continuationNotice" w:id="1">
    <w:p w14:paraId="5D647FCB" w14:textId="77777777" w:rsidR="000472AE" w:rsidRDefault="00047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D40A62" w:rsidRDefault="00D40A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44BA8" w14:textId="77777777" w:rsidR="000472AE" w:rsidRDefault="000472AE">
      <w:r>
        <w:separator/>
      </w:r>
    </w:p>
  </w:footnote>
  <w:footnote w:type="continuationSeparator" w:id="0">
    <w:p w14:paraId="2C05B668" w14:textId="77777777" w:rsidR="000472AE" w:rsidRDefault="000472AE">
      <w:r>
        <w:continuationSeparator/>
      </w:r>
    </w:p>
  </w:footnote>
  <w:footnote w:type="continuationNotice" w:id="1">
    <w:p w14:paraId="3CD2F532" w14:textId="77777777" w:rsidR="000472AE" w:rsidRDefault="000472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D40A62" w:rsidRPr="00AC74E1" w:rsidRDefault="00D40A62"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26358"/>
    <w:rsid w:val="00033CCB"/>
    <w:rsid w:val="00040026"/>
    <w:rsid w:val="00040F9A"/>
    <w:rsid w:val="00044FD6"/>
    <w:rsid w:val="000472AE"/>
    <w:rsid w:val="00053927"/>
    <w:rsid w:val="00066B9C"/>
    <w:rsid w:val="000A2089"/>
    <w:rsid w:val="000B5138"/>
    <w:rsid w:val="000E3E90"/>
    <w:rsid w:val="000F3767"/>
    <w:rsid w:val="000F5C79"/>
    <w:rsid w:val="0010149B"/>
    <w:rsid w:val="00111961"/>
    <w:rsid w:val="00112C6E"/>
    <w:rsid w:val="001216F1"/>
    <w:rsid w:val="00124695"/>
    <w:rsid w:val="00140CC7"/>
    <w:rsid w:val="001A0E4B"/>
    <w:rsid w:val="001A6512"/>
    <w:rsid w:val="001C0490"/>
    <w:rsid w:val="001D43FB"/>
    <w:rsid w:val="001E0647"/>
    <w:rsid w:val="001E1E21"/>
    <w:rsid w:val="001E64A9"/>
    <w:rsid w:val="001F7BB9"/>
    <w:rsid w:val="002055D0"/>
    <w:rsid w:val="0021509A"/>
    <w:rsid w:val="00224801"/>
    <w:rsid w:val="0023433F"/>
    <w:rsid w:val="002353C2"/>
    <w:rsid w:val="00252928"/>
    <w:rsid w:val="00290574"/>
    <w:rsid w:val="002922ED"/>
    <w:rsid w:val="002A0D90"/>
    <w:rsid w:val="002B36B8"/>
    <w:rsid w:val="002B41FC"/>
    <w:rsid w:val="002D4453"/>
    <w:rsid w:val="002E3EE8"/>
    <w:rsid w:val="002E71EA"/>
    <w:rsid w:val="003013F2"/>
    <w:rsid w:val="003103FA"/>
    <w:rsid w:val="00325CC1"/>
    <w:rsid w:val="003452C3"/>
    <w:rsid w:val="003862C1"/>
    <w:rsid w:val="003B67D6"/>
    <w:rsid w:val="003B6DEE"/>
    <w:rsid w:val="003B7AA9"/>
    <w:rsid w:val="003C6E8E"/>
    <w:rsid w:val="003F2338"/>
    <w:rsid w:val="0041209E"/>
    <w:rsid w:val="00426F81"/>
    <w:rsid w:val="00435927"/>
    <w:rsid w:val="00444442"/>
    <w:rsid w:val="00454571"/>
    <w:rsid w:val="004A4992"/>
    <w:rsid w:val="004C01C3"/>
    <w:rsid w:val="004C7AFD"/>
    <w:rsid w:val="005042B0"/>
    <w:rsid w:val="005119C6"/>
    <w:rsid w:val="00513431"/>
    <w:rsid w:val="005333FB"/>
    <w:rsid w:val="0053401E"/>
    <w:rsid w:val="0053648B"/>
    <w:rsid w:val="005421B1"/>
    <w:rsid w:val="00542BFC"/>
    <w:rsid w:val="0055382B"/>
    <w:rsid w:val="00553B54"/>
    <w:rsid w:val="00570655"/>
    <w:rsid w:val="00594655"/>
    <w:rsid w:val="005A0DBD"/>
    <w:rsid w:val="005D1130"/>
    <w:rsid w:val="005D7112"/>
    <w:rsid w:val="005E3CBA"/>
    <w:rsid w:val="005E4BBB"/>
    <w:rsid w:val="005F3BF8"/>
    <w:rsid w:val="00601881"/>
    <w:rsid w:val="00603B0E"/>
    <w:rsid w:val="00606D5B"/>
    <w:rsid w:val="00613C20"/>
    <w:rsid w:val="00642146"/>
    <w:rsid w:val="0064604E"/>
    <w:rsid w:val="0065196C"/>
    <w:rsid w:val="00654583"/>
    <w:rsid w:val="006674A0"/>
    <w:rsid w:val="00683757"/>
    <w:rsid w:val="00697600"/>
    <w:rsid w:val="006D1BE2"/>
    <w:rsid w:val="006E0CE9"/>
    <w:rsid w:val="006E1500"/>
    <w:rsid w:val="006E6E8C"/>
    <w:rsid w:val="006F2EDE"/>
    <w:rsid w:val="00706C3E"/>
    <w:rsid w:val="00706F0D"/>
    <w:rsid w:val="00711A3D"/>
    <w:rsid w:val="00715CFC"/>
    <w:rsid w:val="007206E0"/>
    <w:rsid w:val="00720A10"/>
    <w:rsid w:val="00734D16"/>
    <w:rsid w:val="00744141"/>
    <w:rsid w:val="00751235"/>
    <w:rsid w:val="007577F8"/>
    <w:rsid w:val="00774AD7"/>
    <w:rsid w:val="00774FC8"/>
    <w:rsid w:val="007A4337"/>
    <w:rsid w:val="007C52E2"/>
    <w:rsid w:val="007C71C5"/>
    <w:rsid w:val="00810293"/>
    <w:rsid w:val="00810BDF"/>
    <w:rsid w:val="00825741"/>
    <w:rsid w:val="00852585"/>
    <w:rsid w:val="00852EB4"/>
    <w:rsid w:val="00863F22"/>
    <w:rsid w:val="0087278F"/>
    <w:rsid w:val="008B36F8"/>
    <w:rsid w:val="008C2937"/>
    <w:rsid w:val="008C41F8"/>
    <w:rsid w:val="009522D6"/>
    <w:rsid w:val="0097019C"/>
    <w:rsid w:val="00984762"/>
    <w:rsid w:val="0098585D"/>
    <w:rsid w:val="00985D43"/>
    <w:rsid w:val="009A5D3D"/>
    <w:rsid w:val="00A25B56"/>
    <w:rsid w:val="00A33529"/>
    <w:rsid w:val="00A33DA5"/>
    <w:rsid w:val="00A82539"/>
    <w:rsid w:val="00AA67A9"/>
    <w:rsid w:val="00AB08F7"/>
    <w:rsid w:val="00AC6C20"/>
    <w:rsid w:val="00AE0159"/>
    <w:rsid w:val="00AE4F6C"/>
    <w:rsid w:val="00AF0F0E"/>
    <w:rsid w:val="00B13516"/>
    <w:rsid w:val="00B24BB5"/>
    <w:rsid w:val="00B34631"/>
    <w:rsid w:val="00B41FEC"/>
    <w:rsid w:val="00B50FA7"/>
    <w:rsid w:val="00B746DE"/>
    <w:rsid w:val="00B81841"/>
    <w:rsid w:val="00B83B92"/>
    <w:rsid w:val="00B905A6"/>
    <w:rsid w:val="00B9716D"/>
    <w:rsid w:val="00BA51A3"/>
    <w:rsid w:val="00BB638D"/>
    <w:rsid w:val="00BC3EF4"/>
    <w:rsid w:val="00BE3E2A"/>
    <w:rsid w:val="00BF2C37"/>
    <w:rsid w:val="00C10CC7"/>
    <w:rsid w:val="00C12356"/>
    <w:rsid w:val="00C62741"/>
    <w:rsid w:val="00C766F1"/>
    <w:rsid w:val="00C86C50"/>
    <w:rsid w:val="00C904A9"/>
    <w:rsid w:val="00C93509"/>
    <w:rsid w:val="00CA4EA5"/>
    <w:rsid w:val="00CA6EBC"/>
    <w:rsid w:val="00CA70A9"/>
    <w:rsid w:val="00CB71A3"/>
    <w:rsid w:val="00CC14E3"/>
    <w:rsid w:val="00CE700B"/>
    <w:rsid w:val="00CF4F5B"/>
    <w:rsid w:val="00D31F3C"/>
    <w:rsid w:val="00D40375"/>
    <w:rsid w:val="00D40A62"/>
    <w:rsid w:val="00D43AF4"/>
    <w:rsid w:val="00D71DBE"/>
    <w:rsid w:val="00D72D48"/>
    <w:rsid w:val="00D82C2F"/>
    <w:rsid w:val="00D94EDC"/>
    <w:rsid w:val="00DA5B14"/>
    <w:rsid w:val="00DB55FC"/>
    <w:rsid w:val="00DD5541"/>
    <w:rsid w:val="00DE273B"/>
    <w:rsid w:val="00DF1BD7"/>
    <w:rsid w:val="00DF596B"/>
    <w:rsid w:val="00E01D12"/>
    <w:rsid w:val="00E16078"/>
    <w:rsid w:val="00E23E87"/>
    <w:rsid w:val="00E34140"/>
    <w:rsid w:val="00E45FD7"/>
    <w:rsid w:val="00E5646A"/>
    <w:rsid w:val="00E8555C"/>
    <w:rsid w:val="00E91981"/>
    <w:rsid w:val="00E93EAF"/>
    <w:rsid w:val="00EA5BD0"/>
    <w:rsid w:val="00EA629D"/>
    <w:rsid w:val="00EC5BDE"/>
    <w:rsid w:val="00EF26B6"/>
    <w:rsid w:val="00EF279D"/>
    <w:rsid w:val="00EF58FD"/>
    <w:rsid w:val="00F06CB9"/>
    <w:rsid w:val="00F07F7F"/>
    <w:rsid w:val="00F3262C"/>
    <w:rsid w:val="00F343DD"/>
    <w:rsid w:val="00F66EFB"/>
    <w:rsid w:val="00F746FA"/>
    <w:rsid w:val="00F963C0"/>
    <w:rsid w:val="00FE3C64"/>
    <w:rsid w:val="00FE4372"/>
    <w:rsid w:val="00FF046D"/>
    <w:rsid w:val="00FF5C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7655F"/>
  <w15:docId w15:val="{41E0492C-BE23-4BE8-8BFB-3B3D9DF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BCFCBB-C3A1-4DE9-948B-BD50D3A9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3469</Words>
  <Characters>19774</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Frančiška Mestinšek Podbrežnik</cp:lastModifiedBy>
  <cp:revision>3</cp:revision>
  <cp:lastPrinted>2020-07-01T07:25:00Z</cp:lastPrinted>
  <dcterms:created xsi:type="dcterms:W3CDTF">2022-06-08T10:46:00Z</dcterms:created>
  <dcterms:modified xsi:type="dcterms:W3CDTF">2022-06-08T10:49:00Z</dcterms:modified>
</cp:coreProperties>
</file>